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utoSpaceDE w:val="0"/>
        <w:autoSpaceDN w:val="0"/>
        <w:adjustRightInd w:val="0"/>
        <w:spacing w:line="276" w:lineRule="auto"/>
        <w:ind w:left="420" w:firstLine="0" w:firstLineChars="0"/>
        <w:jc w:val="center"/>
        <w:rPr>
          <w:rFonts w:asciiTheme="majorEastAsia" w:hAnsiTheme="majorEastAsia" w:eastAsiaTheme="majorEastAsia" w:cstheme="majorEastAsia"/>
          <w:b/>
          <w:bCs/>
          <w:color w:val="000000" w:themeColor="text1"/>
          <w:kern w:val="0"/>
          <w:sz w:val="44"/>
          <w:szCs w:val="44"/>
          <w:lang w:val="zh-CN"/>
        </w:rPr>
      </w:pPr>
      <w:r>
        <w:rPr>
          <w:rFonts w:hint="eastAsia" w:asciiTheme="majorEastAsia" w:hAnsiTheme="majorEastAsia" w:eastAsiaTheme="majorEastAsia" w:cstheme="majorEastAsia"/>
          <w:b/>
          <w:bCs/>
          <w:color w:val="000000" w:themeColor="text1"/>
          <w:kern w:val="0"/>
          <w:sz w:val="44"/>
          <w:szCs w:val="44"/>
          <w:lang w:val="zh-CN"/>
        </w:rPr>
        <w:t>“医链贷”融资方案</w:t>
      </w:r>
    </w:p>
    <w:p>
      <w:pPr>
        <w:pStyle w:val="8"/>
        <w:autoSpaceDE w:val="0"/>
        <w:autoSpaceDN w:val="0"/>
        <w:adjustRightInd w:val="0"/>
        <w:spacing w:line="276" w:lineRule="auto"/>
        <w:ind w:left="420" w:firstLine="0" w:firstLineChars="0"/>
        <w:jc w:val="center"/>
        <w:rPr>
          <w:rFonts w:asciiTheme="majorEastAsia" w:hAnsiTheme="majorEastAsia" w:eastAsiaTheme="majorEastAsia" w:cstheme="majorEastAsia"/>
          <w:b/>
          <w:bCs/>
          <w:color w:val="000000" w:themeColor="text1"/>
          <w:kern w:val="0"/>
          <w:sz w:val="36"/>
          <w:szCs w:val="36"/>
          <w:lang w:val="zh-CN"/>
        </w:rPr>
      </w:pPr>
    </w:p>
    <w:p>
      <w:pPr>
        <w:pStyle w:val="8"/>
        <w:autoSpaceDE w:val="0"/>
        <w:autoSpaceDN w:val="0"/>
        <w:adjustRightInd w:val="0"/>
        <w:spacing w:line="276" w:lineRule="auto"/>
        <w:ind w:left="420" w:firstLine="0" w:firstLineChars="0"/>
        <w:jc w:val="center"/>
        <w:rPr>
          <w:rFonts w:asciiTheme="majorEastAsia" w:hAnsiTheme="majorEastAsia" w:eastAsiaTheme="majorEastAsia" w:cstheme="majorEastAsia"/>
          <w:b/>
          <w:bCs/>
          <w:color w:val="000000" w:themeColor="text1"/>
          <w:kern w:val="0"/>
          <w:sz w:val="36"/>
          <w:szCs w:val="36"/>
          <w:lang w:val="zh-CN"/>
        </w:rPr>
      </w:pPr>
    </w:p>
    <w:p>
      <w:pPr>
        <w:autoSpaceDE w:val="0"/>
        <w:autoSpaceDN w:val="0"/>
        <w:adjustRightInd w:val="0"/>
        <w:spacing w:line="276" w:lineRule="auto"/>
        <w:jc w:val="center"/>
        <w:rPr>
          <w:rFonts w:hint="eastAsia"/>
          <w:b/>
          <w:color w:val="000000" w:themeColor="text1"/>
          <w:sz w:val="30"/>
          <w:szCs w:val="30"/>
        </w:rPr>
      </w:pPr>
      <w:r>
        <w:rPr>
          <w:rFonts w:hint="eastAsia"/>
          <w:b/>
          <w:color w:val="000000" w:themeColor="text1"/>
          <w:sz w:val="30"/>
          <w:szCs w:val="30"/>
        </w:rPr>
        <w:t>本方案是在行业协会、民生银行以及友邦金融公司三方合作的基础上成立。</w:t>
      </w:r>
    </w:p>
    <w:p>
      <w:pPr>
        <w:autoSpaceDE w:val="0"/>
        <w:autoSpaceDN w:val="0"/>
        <w:adjustRightInd w:val="0"/>
        <w:spacing w:line="276" w:lineRule="auto"/>
        <w:jc w:val="left"/>
        <w:rPr>
          <w:rFonts w:ascii="仿宋" w:hAnsi="仿宋" w:eastAsia="仿宋"/>
          <w:b/>
          <w:color w:val="000000" w:themeColor="text1"/>
          <w:sz w:val="32"/>
          <w:szCs w:val="32"/>
        </w:rPr>
      </w:pPr>
      <w:r>
        <w:rPr>
          <w:rFonts w:hint="eastAsia" w:ascii="仿宋" w:hAnsi="仿宋" w:eastAsia="仿宋"/>
          <w:b/>
          <w:color w:val="000000" w:themeColor="text1"/>
          <w:sz w:val="32"/>
          <w:szCs w:val="32"/>
        </w:rPr>
        <w:t>一、目标客户</w:t>
      </w:r>
    </w:p>
    <w:p>
      <w:pPr>
        <w:ind w:firstLine="640" w:firstLineChars="200"/>
        <w:rPr>
          <w:rFonts w:ascii="仿宋" w:hAnsi="仿宋" w:eastAsia="仿宋"/>
          <w:sz w:val="32"/>
          <w:szCs w:val="32"/>
          <w:u w:val="single"/>
        </w:rPr>
      </w:pPr>
      <w:r>
        <w:rPr>
          <w:rFonts w:hint="eastAsia" w:ascii="仿宋" w:hAnsi="仿宋" w:eastAsia="仿宋"/>
          <w:sz w:val="32"/>
          <w:szCs w:val="32"/>
        </w:rPr>
        <w:t>与</w:t>
      </w:r>
      <w:r>
        <w:rPr>
          <w:rFonts w:hint="eastAsia" w:ascii="仿宋" w:hAnsi="仿宋" w:eastAsia="仿宋" w:cstheme="majorEastAsia"/>
          <w:color w:val="000000" w:themeColor="text1"/>
          <w:kern w:val="0"/>
          <w:sz w:val="32"/>
          <w:szCs w:val="32"/>
          <w:lang w:val="zh-CN"/>
        </w:rPr>
        <w:t>河南省三级甲等、二级甲等公立以</w:t>
      </w:r>
      <w:r>
        <w:rPr>
          <w:rFonts w:hint="eastAsia" w:ascii="仿宋" w:hAnsi="仿宋" w:eastAsia="仿宋"/>
          <w:sz w:val="32"/>
          <w:szCs w:val="32"/>
        </w:rPr>
        <w:t>上医院或托管公司（九州通、华润、国药）合作的较为稳定和优良的医药及医疗器械设备供应商。</w:t>
      </w:r>
    </w:p>
    <w:p>
      <w:pPr>
        <w:pStyle w:val="8"/>
        <w:ind w:left="420" w:firstLine="0" w:firstLineChars="0"/>
        <w:rPr>
          <w:rFonts w:ascii="仿宋" w:hAnsi="仿宋" w:eastAsia="仿宋"/>
          <w:color w:val="000000" w:themeColor="text1"/>
          <w:sz w:val="32"/>
          <w:szCs w:val="32"/>
        </w:rPr>
      </w:pPr>
      <w:r>
        <w:rPr>
          <w:rFonts w:hint="eastAsia" w:ascii="仿宋" w:hAnsi="仿宋" w:eastAsia="仿宋"/>
          <w:b/>
          <w:color w:val="000000" w:themeColor="text1"/>
          <w:sz w:val="32"/>
          <w:szCs w:val="32"/>
        </w:rPr>
        <w:t>二、借款人准入条件</w:t>
      </w:r>
    </w:p>
    <w:p>
      <w:pPr>
        <w:rPr>
          <w:rFonts w:ascii="仿宋" w:hAnsi="仿宋" w:eastAsia="仿宋"/>
          <w:sz w:val="32"/>
          <w:szCs w:val="32"/>
        </w:rPr>
      </w:pPr>
      <w:r>
        <w:rPr>
          <w:rFonts w:hint="eastAsia" w:ascii="仿宋" w:hAnsi="仿宋" w:eastAsia="仿宋"/>
          <w:color w:val="000000" w:themeColor="text1"/>
          <w:sz w:val="32"/>
          <w:szCs w:val="32"/>
        </w:rPr>
        <w:t xml:space="preserve">   </w:t>
      </w:r>
      <w:r>
        <w:rPr>
          <w:rFonts w:hint="eastAsia" w:ascii="仿宋" w:hAnsi="仿宋" w:eastAsia="仿宋"/>
          <w:sz w:val="32"/>
          <w:szCs w:val="32"/>
        </w:rPr>
        <w:t>1、符合贷款行信贷政策制度及额定范围</w:t>
      </w:r>
      <w:bookmarkStart w:id="0" w:name="_GoBack"/>
      <w:bookmarkEnd w:id="0"/>
      <w:r>
        <w:rPr>
          <w:rFonts w:hint="eastAsia" w:ascii="仿宋" w:hAnsi="仿宋" w:eastAsia="仿宋"/>
          <w:sz w:val="32"/>
          <w:szCs w:val="32"/>
        </w:rPr>
        <w:t>的生产和流通企业，符合国家产业政策和我行行业（绿色）信贷政策，在银行信用等级为Aˉ级（含）以上；</w:t>
      </w:r>
    </w:p>
    <w:p>
      <w:pPr>
        <w:rPr>
          <w:rFonts w:ascii="仿宋" w:hAnsi="仿宋" w:eastAsia="仿宋"/>
          <w:sz w:val="32"/>
          <w:szCs w:val="32"/>
        </w:rPr>
      </w:pPr>
      <w:r>
        <w:rPr>
          <w:rFonts w:hint="eastAsia" w:ascii="仿宋" w:hAnsi="仿宋" w:eastAsia="仿宋"/>
          <w:sz w:val="32"/>
          <w:szCs w:val="32"/>
        </w:rPr>
        <w:t xml:space="preserve">   2、借款人持续经营时间在</w:t>
      </w:r>
      <w:r>
        <w:rPr>
          <w:rFonts w:ascii="仿宋" w:hAnsi="仿宋" w:eastAsia="仿宋"/>
          <w:sz w:val="32"/>
          <w:szCs w:val="32"/>
        </w:rPr>
        <w:t>2</w:t>
      </w:r>
      <w:r>
        <w:rPr>
          <w:rFonts w:hint="eastAsia" w:ascii="仿宋" w:hAnsi="仿宋" w:eastAsia="仿宋"/>
          <w:sz w:val="32"/>
          <w:szCs w:val="32"/>
        </w:rPr>
        <w:t>年（含）以上（企业仅变更名称、增加注册资本、增加股东等，经营业务及实际经营者为发生改变，可视为持续经营），上年销售收入不低于1亿元，且近两年连续盈利；</w:t>
      </w:r>
    </w:p>
    <w:p>
      <w:pPr>
        <w:rPr>
          <w:rFonts w:ascii="仿宋" w:hAnsi="仿宋" w:eastAsia="仿宋"/>
          <w:sz w:val="32"/>
          <w:szCs w:val="32"/>
        </w:rPr>
      </w:pPr>
      <w:r>
        <w:rPr>
          <w:rFonts w:hint="eastAsia" w:ascii="仿宋" w:hAnsi="仿宋" w:eastAsia="仿宋"/>
          <w:sz w:val="32"/>
          <w:szCs w:val="32"/>
        </w:rPr>
        <w:t xml:space="preserve">   3、企业主（包括实际控制人、经营者个人、法定代表人（或负责人）、主要股东或合伙人，下同）在本行业经营年限已满三年（含）以上；</w:t>
      </w:r>
    </w:p>
    <w:p>
      <w:pPr>
        <w:rPr>
          <w:rFonts w:ascii="仿宋" w:hAnsi="仿宋" w:eastAsia="仿宋"/>
          <w:sz w:val="32"/>
          <w:szCs w:val="32"/>
        </w:rPr>
      </w:pPr>
      <w:r>
        <w:rPr>
          <w:rFonts w:hint="eastAsia" w:ascii="仿宋" w:hAnsi="仿宋" w:eastAsia="仿宋"/>
          <w:sz w:val="32"/>
          <w:szCs w:val="32"/>
        </w:rPr>
        <w:t xml:space="preserve">   4、借款人取得医药监管部门颁发的行业经营许可证书，取得</w:t>
      </w:r>
      <w:r>
        <w:rPr>
          <w:rFonts w:ascii="仿宋" w:hAnsi="仿宋" w:eastAsia="仿宋"/>
          <w:sz w:val="32"/>
          <w:szCs w:val="32"/>
        </w:rPr>
        <w:t>GSP</w:t>
      </w:r>
      <w:r>
        <w:rPr>
          <w:rFonts w:hint="eastAsia" w:ascii="仿宋" w:hAnsi="仿宋" w:eastAsia="仿宋"/>
          <w:sz w:val="32"/>
          <w:szCs w:val="32"/>
        </w:rPr>
        <w:t>或GMP认证，无环保违法、涉案记录；</w:t>
      </w:r>
    </w:p>
    <w:p>
      <w:pPr>
        <w:rPr>
          <w:rFonts w:ascii="仿宋" w:hAnsi="仿宋" w:eastAsia="仿宋"/>
          <w:sz w:val="32"/>
          <w:szCs w:val="32"/>
        </w:rPr>
      </w:pPr>
      <w:r>
        <w:rPr>
          <w:rFonts w:hint="eastAsia" w:ascii="仿宋" w:hAnsi="仿宋" w:eastAsia="仿宋"/>
          <w:sz w:val="32"/>
          <w:szCs w:val="32"/>
        </w:rPr>
        <w:t xml:space="preserve">   5、与省内的三甲或二甲公立医院，或与托管公司有两年以上的业务合作，有应收账款余额且未被转让质押；</w:t>
      </w:r>
    </w:p>
    <w:p>
      <w:pPr>
        <w:rPr>
          <w:rFonts w:ascii="仿宋" w:hAnsi="仿宋" w:eastAsia="仿宋"/>
          <w:sz w:val="32"/>
          <w:szCs w:val="32"/>
        </w:rPr>
      </w:pPr>
      <w:r>
        <w:rPr>
          <w:rFonts w:hint="eastAsia" w:ascii="仿宋" w:hAnsi="仿宋" w:eastAsia="仿宋"/>
          <w:sz w:val="32"/>
          <w:szCs w:val="32"/>
        </w:rPr>
        <w:t xml:space="preserve">   6、贷款行要求的其他条件。</w:t>
      </w:r>
    </w:p>
    <w:p>
      <w:pPr>
        <w:rPr>
          <w:rFonts w:ascii="仿宋" w:hAnsi="仿宋" w:eastAsia="仿宋"/>
          <w:b/>
          <w:color w:val="000000" w:themeColor="text1"/>
          <w:sz w:val="32"/>
          <w:szCs w:val="32"/>
        </w:rPr>
      </w:pPr>
      <w:r>
        <w:rPr>
          <w:rFonts w:hint="eastAsia" w:ascii="仿宋" w:hAnsi="仿宋" w:eastAsia="仿宋"/>
          <w:b/>
          <w:color w:val="000000" w:themeColor="text1"/>
          <w:sz w:val="32"/>
          <w:szCs w:val="32"/>
        </w:rPr>
        <w:t>三、融资额度</w:t>
      </w:r>
    </w:p>
    <w:p>
      <w:pPr>
        <w:ind w:firstLine="560"/>
        <w:rPr>
          <w:rFonts w:ascii="仿宋" w:hAnsi="仿宋" w:eastAsia="仿宋"/>
          <w:color w:val="000000" w:themeColor="text1"/>
          <w:sz w:val="32"/>
          <w:szCs w:val="32"/>
        </w:rPr>
      </w:pPr>
      <w:r>
        <w:rPr>
          <w:rFonts w:hint="eastAsia" w:ascii="仿宋" w:hAnsi="仿宋" w:eastAsia="仿宋"/>
          <w:color w:val="000000" w:themeColor="text1"/>
          <w:sz w:val="32"/>
          <w:szCs w:val="32"/>
        </w:rPr>
        <w:t>融资总额：根据目标客户体量，该方案总授信额度10亿元人民币。</w:t>
      </w:r>
    </w:p>
    <w:p>
      <w:pPr>
        <w:ind w:firstLine="56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单户限额：贷款额度根据借款人总体资金需求、与三甲等医院的合作规模和盈利水平合理确定。单户贷款额度最高不超过借款人对拟合作医院或托管公司的应收账款余额之和的80%。 </w:t>
      </w:r>
    </w:p>
    <w:p>
      <w:pPr>
        <w:pStyle w:val="10"/>
        <w:numPr>
          <w:ilvl w:val="0"/>
          <w:numId w:val="0"/>
        </w:numPr>
        <w:ind w:left="150" w:leftChars="0"/>
        <w:rPr>
          <w:rFonts w:ascii="仿宋" w:hAnsi="仿宋" w:eastAsia="仿宋"/>
          <w:b/>
          <w:color w:val="000000" w:themeColor="text1"/>
          <w:sz w:val="32"/>
          <w:szCs w:val="32"/>
        </w:rPr>
      </w:pPr>
      <w:r>
        <w:rPr>
          <w:rFonts w:hint="eastAsia" w:ascii="仿宋" w:hAnsi="仿宋" w:eastAsia="仿宋"/>
          <w:b/>
          <w:color w:val="000000" w:themeColor="text1"/>
          <w:sz w:val="32"/>
          <w:szCs w:val="32"/>
          <w:lang w:eastAsia="zh-CN"/>
        </w:rPr>
        <w:t>四、</w:t>
      </w:r>
      <w:r>
        <w:rPr>
          <w:rFonts w:hint="eastAsia" w:ascii="仿宋" w:hAnsi="仿宋" w:eastAsia="仿宋"/>
          <w:b/>
          <w:color w:val="000000" w:themeColor="text1"/>
          <w:sz w:val="32"/>
          <w:szCs w:val="32"/>
        </w:rPr>
        <w:t>贷款方式</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医院或托管公司开立</w:t>
      </w:r>
      <w:r>
        <w:rPr>
          <w:rFonts w:hint="eastAsia" w:ascii="仿宋" w:hAnsi="仿宋" w:eastAsia="仿宋"/>
          <w:color w:val="000000" w:themeColor="text1"/>
          <w:sz w:val="32"/>
          <w:szCs w:val="32"/>
          <w:lang w:eastAsia="zh-CN"/>
        </w:rPr>
        <w:t>票据</w:t>
      </w:r>
      <w:r>
        <w:rPr>
          <w:rFonts w:hint="eastAsia" w:ascii="仿宋" w:hAnsi="仿宋" w:eastAsia="仿宋"/>
          <w:color w:val="000000" w:themeColor="text1"/>
          <w:sz w:val="32"/>
          <w:szCs w:val="32"/>
        </w:rPr>
        <w:t>，授信银行给予贴现，实现融资。</w:t>
      </w:r>
    </w:p>
    <w:p>
      <w:pPr>
        <w:pStyle w:val="10"/>
        <w:numPr>
          <w:ilvl w:val="0"/>
          <w:numId w:val="1"/>
        </w:numPr>
        <w:ind w:firstLineChars="0"/>
        <w:rPr>
          <w:rFonts w:hint="eastAsia" w:ascii="仿宋" w:hAnsi="仿宋" w:eastAsia="仿宋"/>
          <w:b/>
          <w:color w:val="000000" w:themeColor="text1"/>
          <w:sz w:val="32"/>
          <w:szCs w:val="32"/>
        </w:rPr>
      </w:pPr>
      <w:r>
        <w:rPr>
          <w:rFonts w:hint="eastAsia" w:ascii="仿宋" w:hAnsi="仿宋" w:eastAsia="仿宋"/>
          <w:b/>
          <w:color w:val="000000" w:themeColor="text1"/>
          <w:sz w:val="32"/>
          <w:szCs w:val="32"/>
        </w:rPr>
        <w:t>贷款期限</w:t>
      </w:r>
    </w:p>
    <w:p>
      <w:pPr>
        <w:ind w:left="15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贷款期限根据医院或托管公司的账期确定，一般为6个月，最长不超过12个月，由供应商和开票单位根据实际情况协商确定。</w:t>
      </w:r>
    </w:p>
    <w:p>
      <w:pPr>
        <w:rPr>
          <w:rFonts w:ascii="仿宋" w:hAnsi="仿宋" w:eastAsia="仿宋"/>
          <w:b/>
          <w:color w:val="000000" w:themeColor="text1"/>
          <w:sz w:val="32"/>
          <w:szCs w:val="32"/>
        </w:rPr>
      </w:pPr>
      <w:r>
        <w:rPr>
          <w:rFonts w:hint="eastAsia" w:ascii="仿宋" w:hAnsi="仿宋" w:eastAsia="仿宋"/>
          <w:b/>
          <w:color w:val="000000" w:themeColor="text1"/>
          <w:sz w:val="32"/>
          <w:szCs w:val="32"/>
          <w:lang w:eastAsia="zh-CN"/>
        </w:rPr>
        <w:t>六</w:t>
      </w:r>
      <w:r>
        <w:rPr>
          <w:rFonts w:hint="eastAsia" w:ascii="仿宋" w:hAnsi="仿宋" w:eastAsia="仿宋"/>
          <w:b/>
          <w:color w:val="000000" w:themeColor="text1"/>
          <w:sz w:val="32"/>
          <w:szCs w:val="32"/>
        </w:rPr>
        <w:t>、贷款用途</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贷款的用途限于借款人购置集中采购药品或其日常经营周转需求。</w:t>
      </w:r>
    </w:p>
    <w:p>
      <w:pPr>
        <w:rPr>
          <w:rFonts w:ascii="仿宋" w:hAnsi="仿宋" w:eastAsia="仿宋"/>
          <w:b/>
          <w:color w:val="000000" w:themeColor="text1"/>
          <w:sz w:val="32"/>
          <w:szCs w:val="32"/>
        </w:rPr>
      </w:pPr>
      <w:r>
        <w:rPr>
          <w:rFonts w:hint="eastAsia" w:ascii="仿宋" w:hAnsi="仿宋" w:eastAsia="仿宋"/>
          <w:b/>
          <w:color w:val="000000" w:themeColor="text1"/>
          <w:sz w:val="32"/>
          <w:szCs w:val="32"/>
          <w:lang w:eastAsia="zh-CN"/>
        </w:rPr>
        <w:t>七</w:t>
      </w:r>
      <w:r>
        <w:rPr>
          <w:rFonts w:hint="eastAsia" w:ascii="仿宋" w:hAnsi="仿宋" w:eastAsia="仿宋"/>
          <w:b/>
          <w:color w:val="000000" w:themeColor="text1"/>
          <w:sz w:val="32"/>
          <w:szCs w:val="32"/>
        </w:rPr>
        <w:t>、利率定价</w:t>
      </w:r>
    </w:p>
    <w:p>
      <w:pPr>
        <w:ind w:firstLine="540"/>
        <w:rPr>
          <w:rFonts w:ascii="仿宋" w:hAnsi="仿宋" w:eastAsia="仿宋"/>
          <w:color w:val="000000" w:themeColor="text1"/>
          <w:sz w:val="32"/>
          <w:szCs w:val="32"/>
        </w:rPr>
      </w:pPr>
      <w:r>
        <w:rPr>
          <w:rFonts w:hint="eastAsia" w:ascii="仿宋" w:hAnsi="仿宋" w:eastAsia="仿宋"/>
          <w:color w:val="000000" w:themeColor="text1"/>
          <w:sz w:val="32"/>
          <w:szCs w:val="32"/>
        </w:rPr>
        <w:t>根据商业承兑汇票的市场贴现利率确定，随行就市。</w:t>
      </w:r>
      <w:r>
        <w:rPr>
          <w:rFonts w:ascii="仿宋" w:hAnsi="仿宋" w:eastAsia="仿宋"/>
          <w:color w:val="000000" w:themeColor="text1"/>
          <w:sz w:val="32"/>
          <w:szCs w:val="32"/>
        </w:rPr>
        <w:t xml:space="preserve"> </w:t>
      </w:r>
    </w:p>
    <w:p>
      <w:pPr>
        <w:rPr>
          <w:rFonts w:ascii="仿宋" w:hAnsi="仿宋" w:eastAsia="仿宋"/>
          <w:b/>
          <w:color w:val="000000" w:themeColor="text1"/>
          <w:sz w:val="32"/>
          <w:szCs w:val="32"/>
        </w:rPr>
      </w:pPr>
      <w:r>
        <w:rPr>
          <w:rFonts w:hint="eastAsia" w:ascii="仿宋" w:hAnsi="仿宋" w:eastAsia="仿宋"/>
          <w:b/>
          <w:color w:val="000000" w:themeColor="text1"/>
          <w:sz w:val="32"/>
          <w:szCs w:val="32"/>
          <w:lang w:eastAsia="zh-CN"/>
        </w:rPr>
        <w:t>八、</w:t>
      </w:r>
      <w:r>
        <w:rPr>
          <w:rFonts w:hint="eastAsia" w:ascii="仿宋" w:hAnsi="仿宋" w:eastAsia="仿宋"/>
          <w:b/>
          <w:color w:val="000000" w:themeColor="text1"/>
          <w:sz w:val="32"/>
          <w:szCs w:val="32"/>
        </w:rPr>
        <w:t>授信资料清单</w:t>
      </w:r>
    </w:p>
    <w:tbl>
      <w:tblPr>
        <w:tblStyle w:val="5"/>
        <w:tblW w:w="9855" w:type="dxa"/>
        <w:tblInd w:w="0" w:type="dxa"/>
        <w:tblLayout w:type="fixed"/>
        <w:tblCellMar>
          <w:top w:w="0" w:type="dxa"/>
          <w:left w:w="108" w:type="dxa"/>
          <w:bottom w:w="0" w:type="dxa"/>
          <w:right w:w="108" w:type="dxa"/>
        </w:tblCellMar>
      </w:tblPr>
      <w:tblGrid>
        <w:gridCol w:w="9855"/>
      </w:tblGrid>
      <w:tr>
        <w:tblPrEx>
          <w:tblLayout w:type="fixed"/>
        </w:tblPrEx>
        <w:trPr>
          <w:trHeight w:val="270" w:hRule="atLeast"/>
        </w:trPr>
        <w:tc>
          <w:tcPr>
            <w:tcW w:w="9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仿宋" w:hAnsi="仿宋" w:eastAsia="仿宋"/>
                <w:b/>
                <w:color w:val="000000" w:themeColor="text1"/>
                <w:sz w:val="32"/>
                <w:szCs w:val="32"/>
              </w:rPr>
              <w:t xml:space="preserve">   </w:t>
            </w:r>
            <w:r>
              <w:rPr>
                <w:rFonts w:hint="eastAsia" w:ascii="宋体" w:hAnsi="宋体" w:eastAsia="宋体" w:cs="宋体"/>
                <w:color w:val="000000"/>
                <w:kern w:val="0"/>
                <w:sz w:val="22"/>
              </w:rPr>
              <w:t>营业执照正、副本复印件</w:t>
            </w:r>
          </w:p>
          <w:p>
            <w:pPr>
              <w:widowControl/>
              <w:jc w:val="center"/>
              <w:rPr>
                <w:rFonts w:ascii="宋体" w:hAnsi="宋体" w:eastAsia="宋体" w:cs="宋体"/>
                <w:color w:val="000000"/>
                <w:kern w:val="0"/>
                <w:sz w:val="22"/>
              </w:rPr>
            </w:pPr>
            <w:r>
              <w:rPr>
                <w:rFonts w:hint="eastAsia" w:ascii="宋体" w:hAnsi="宋体" w:eastAsia="宋体" w:cs="宋体"/>
                <w:kern w:val="0"/>
                <w:sz w:val="22"/>
              </w:rPr>
              <w:t>（如果未实行三证合一需要提供：组织机构代码证复印件、税务登记证（国、地税）复印件）</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企业法人代表、实际控制人身份证复印件</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b/>
                <w:kern w:val="0"/>
                <w:sz w:val="22"/>
              </w:rPr>
              <w:t>贸易企业</w:t>
            </w:r>
            <w:r>
              <w:rPr>
                <w:rFonts w:hint="eastAsia" w:ascii="宋体" w:hAnsi="宋体" w:eastAsia="宋体" w:cs="宋体"/>
                <w:color w:val="000000"/>
                <w:kern w:val="0"/>
                <w:sz w:val="22"/>
              </w:rPr>
              <w:t>提供法人代表和实际控制人自有房产证复印件</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b/>
                <w:color w:val="000000"/>
                <w:kern w:val="0"/>
                <w:sz w:val="22"/>
              </w:rPr>
              <w:t>生产企业</w:t>
            </w:r>
            <w:r>
              <w:rPr>
                <w:rFonts w:hint="eastAsia" w:ascii="宋体" w:hAnsi="宋体" w:eastAsia="宋体" w:cs="宋体"/>
                <w:color w:val="000000"/>
                <w:kern w:val="0"/>
                <w:sz w:val="22"/>
              </w:rPr>
              <w:t>提供企业的土地证及房产证复印件</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基本户开户许可证</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贷款卡复印件（注明贷款卡号）</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同意我行查询其贷款卡信息的授权书（银行提供文本）</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排污许可证或环保批复（仅生产企业提供）</w:t>
            </w:r>
          </w:p>
        </w:tc>
      </w:tr>
      <w:tr>
        <w:tblPrEx>
          <w:tblLayout w:type="fixed"/>
        </w:tblPrEx>
        <w:trPr>
          <w:trHeight w:val="291"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从事特殊行业的，还应有《特种经营许可证》复印件以及最新的年检证明</w:t>
            </w:r>
          </w:p>
        </w:tc>
      </w:tr>
      <w:tr>
        <w:tblPrEx>
          <w:tblLayout w:type="fixed"/>
        </w:tblPrEx>
        <w:trPr>
          <w:trHeight w:val="371"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须资质认证的，还应有《企业资质登记证》复印件以及最新的年检证明</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验资报告</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公司章程或合伙、联营协议复印件</w:t>
            </w:r>
          </w:p>
        </w:tc>
      </w:tr>
      <w:tr>
        <w:tblPrEx>
          <w:tblLayout w:type="fixed"/>
        </w:tblPrEx>
        <w:trPr>
          <w:trHeight w:val="270" w:hRule="atLeast"/>
        </w:trPr>
        <w:tc>
          <w:tcPr>
            <w:tcW w:w="9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近三年的审计报告和即期报表及说明</w:t>
            </w:r>
          </w:p>
        </w:tc>
      </w:tr>
      <w:tr>
        <w:tblPrEx>
          <w:tblLayout w:type="fixed"/>
        </w:tblPrEx>
        <w:trPr>
          <w:trHeight w:val="270" w:hRule="atLeast"/>
        </w:trPr>
        <w:tc>
          <w:tcPr>
            <w:tcW w:w="9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GMP或GSP认证证书</w:t>
            </w:r>
          </w:p>
        </w:tc>
      </w:tr>
      <w:tr>
        <w:tblPrEx>
          <w:tblLayout w:type="fixed"/>
        </w:tblPrEx>
        <w:trPr>
          <w:trHeight w:val="270" w:hRule="atLeast"/>
        </w:trPr>
        <w:tc>
          <w:tcPr>
            <w:tcW w:w="9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与医院签订的正在执行的《购销合同》</w:t>
            </w:r>
          </w:p>
        </w:tc>
      </w:tr>
      <w:tr>
        <w:tblPrEx>
          <w:tblLayout w:type="fixed"/>
        </w:tblPrEx>
        <w:trPr>
          <w:trHeight w:val="270" w:hRule="atLeast"/>
        </w:trPr>
        <w:tc>
          <w:tcPr>
            <w:tcW w:w="9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上年末增值税纳税申报表复印件</w:t>
            </w:r>
          </w:p>
        </w:tc>
      </w:tr>
    </w:tbl>
    <w:p>
      <w:pPr>
        <w:rPr>
          <w:rFonts w:ascii="仿宋" w:hAnsi="仿宋" w:eastAsia="仿宋"/>
          <w:b/>
          <w:color w:val="000000" w:themeColor="text1"/>
          <w:sz w:val="32"/>
          <w:szCs w:val="32"/>
        </w:rPr>
      </w:pPr>
    </w:p>
    <w:p>
      <w:pPr>
        <w:rPr>
          <w:rFonts w:ascii="仿宋" w:hAnsi="仿宋" w:eastAsia="仿宋"/>
          <w:b/>
          <w:color w:val="000000" w:themeColor="text1"/>
          <w:sz w:val="32"/>
          <w:szCs w:val="32"/>
        </w:rPr>
      </w:pPr>
    </w:p>
    <w:p>
      <w:pPr>
        <w:rPr>
          <w:rFonts w:ascii="仿宋" w:hAnsi="仿宋" w:eastAsia="仿宋"/>
          <w:b/>
          <w:color w:val="000000" w:themeColor="text1"/>
          <w:sz w:val="32"/>
          <w:szCs w:val="32"/>
        </w:rPr>
      </w:pPr>
    </w:p>
    <w:p>
      <w:pPr>
        <w:rPr>
          <w:rFonts w:hint="eastAsia" w:ascii="仿宋" w:hAnsi="仿宋" w:eastAsia="仿宋"/>
          <w:b/>
          <w:color w:val="000000" w:themeColor="text1"/>
          <w:sz w:val="32"/>
          <w:szCs w:val="32"/>
        </w:rPr>
      </w:pPr>
      <w:r>
        <w:rPr>
          <w:rFonts w:hint="eastAsia" w:ascii="仿宋" w:hAnsi="仿宋" w:eastAsia="仿宋"/>
          <w:b/>
          <w:color w:val="000000" w:themeColor="text1"/>
          <w:sz w:val="32"/>
          <w:szCs w:val="32"/>
        </w:rPr>
        <w:t xml:space="preserve">             联系人：</w:t>
      </w:r>
      <w:r>
        <w:rPr>
          <w:rFonts w:hint="eastAsia" w:ascii="仿宋" w:hAnsi="仿宋" w:eastAsia="仿宋"/>
          <w:b/>
          <w:color w:val="000000" w:themeColor="text1"/>
          <w:sz w:val="32"/>
          <w:szCs w:val="32"/>
          <w:lang w:val="en-US" w:eastAsia="zh-CN"/>
        </w:rPr>
        <w:t xml:space="preserve">  高经理</w:t>
      </w:r>
    </w:p>
    <w:p>
      <w:pPr>
        <w:rPr>
          <w:rFonts w:ascii="仿宋" w:hAnsi="仿宋" w:eastAsia="仿宋"/>
          <w:b/>
          <w:color w:val="000000" w:themeColor="text1"/>
          <w:sz w:val="32"/>
          <w:szCs w:val="32"/>
        </w:rPr>
      </w:pPr>
      <w:r>
        <w:rPr>
          <w:rFonts w:hint="eastAsia" w:ascii="仿宋" w:hAnsi="仿宋" w:eastAsia="仿宋"/>
          <w:b/>
          <w:color w:val="000000" w:themeColor="text1"/>
          <w:sz w:val="32"/>
          <w:szCs w:val="32"/>
        </w:rPr>
        <w:t xml:space="preserve">             联系电话：</w:t>
      </w:r>
      <w:r>
        <w:rPr>
          <w:rFonts w:hint="eastAsia" w:ascii="仿宋" w:hAnsi="仿宋" w:eastAsia="仿宋"/>
          <w:b/>
          <w:color w:val="000000" w:themeColor="text1"/>
          <w:sz w:val="32"/>
          <w:szCs w:val="32"/>
          <w:lang w:val="en-US" w:eastAsia="zh-CN"/>
        </w:rPr>
        <w:t>15838170609</w:t>
      </w:r>
    </w:p>
    <w:p>
      <w:pPr>
        <w:rPr>
          <w:rFonts w:ascii="仿宋" w:hAnsi="仿宋" w:eastAsia="仿宋"/>
          <w:b/>
          <w:color w:val="000000" w:themeColor="text1"/>
          <w:sz w:val="32"/>
          <w:szCs w:val="32"/>
        </w:rPr>
      </w:pPr>
    </w:p>
    <w:p>
      <w:pPr>
        <w:rPr>
          <w:rFonts w:ascii="仿宋" w:hAnsi="仿宋" w:eastAsia="仿宋"/>
          <w:b/>
          <w:color w:val="000000" w:themeColor="text1"/>
          <w:sz w:val="32"/>
          <w:szCs w:val="32"/>
        </w:rPr>
      </w:pPr>
      <w:r>
        <w:rPr>
          <w:rFonts w:hint="eastAsia" w:ascii="仿宋" w:hAnsi="仿宋" w:eastAsia="仿宋"/>
          <w:b/>
          <w:color w:val="000000" w:themeColor="text1"/>
          <w:sz w:val="32"/>
          <w:szCs w:val="32"/>
        </w:rPr>
        <w:t xml:space="preserve">   </w:t>
      </w:r>
    </w:p>
    <w:p>
      <w:pPr>
        <w:rPr>
          <w:rFonts w:ascii="仿宋" w:hAnsi="仿宋" w:eastAsia="仿宋"/>
          <w:b/>
          <w:color w:val="000000" w:themeColor="text1"/>
          <w:sz w:val="32"/>
          <w:szCs w:val="32"/>
        </w:rPr>
      </w:pPr>
      <w:r>
        <w:rPr>
          <w:rFonts w:hint="eastAsia" w:ascii="仿宋" w:hAnsi="仿宋" w:eastAsia="仿宋"/>
          <w:b/>
          <w:color w:val="000000" w:themeColor="text1"/>
          <w:sz w:val="32"/>
          <w:szCs w:val="32"/>
        </w:rPr>
        <w:t xml:space="preserve">                                      2017.6.14           </w:t>
      </w:r>
    </w:p>
    <w:sectPr>
      <w:pgSz w:w="11906" w:h="16838"/>
      <w:pgMar w:top="1440" w:right="1133"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4356"/>
    <w:multiLevelType w:val="multilevel"/>
    <w:tmpl w:val="5A2A4356"/>
    <w:lvl w:ilvl="0" w:tentative="0">
      <w:start w:val="5"/>
      <w:numFmt w:val="japaneseCounting"/>
      <w:lvlText w:val="%1、"/>
      <w:lvlJc w:val="left"/>
      <w:pPr>
        <w:ind w:left="870" w:hanging="720"/>
      </w:pPr>
      <w:rPr>
        <w:rFonts w:hint="default"/>
      </w:rPr>
    </w:lvl>
    <w:lvl w:ilvl="1" w:tentative="0">
      <w:start w:val="1"/>
      <w:numFmt w:val="lowerLetter"/>
      <w:lvlText w:val="%2)"/>
      <w:lvlJc w:val="left"/>
      <w:pPr>
        <w:ind w:left="990" w:hanging="420"/>
      </w:pPr>
    </w:lvl>
    <w:lvl w:ilvl="2" w:tentative="0">
      <w:start w:val="1"/>
      <w:numFmt w:val="lowerRoman"/>
      <w:lvlText w:val="%3."/>
      <w:lvlJc w:val="right"/>
      <w:pPr>
        <w:ind w:left="1410" w:hanging="420"/>
      </w:pPr>
    </w:lvl>
    <w:lvl w:ilvl="3" w:tentative="0">
      <w:start w:val="1"/>
      <w:numFmt w:val="decimal"/>
      <w:lvlText w:val="%4."/>
      <w:lvlJc w:val="left"/>
      <w:pPr>
        <w:ind w:left="1830" w:hanging="420"/>
      </w:pPr>
    </w:lvl>
    <w:lvl w:ilvl="4" w:tentative="0">
      <w:start w:val="1"/>
      <w:numFmt w:val="lowerLetter"/>
      <w:lvlText w:val="%5)"/>
      <w:lvlJc w:val="left"/>
      <w:pPr>
        <w:ind w:left="2250" w:hanging="420"/>
      </w:pPr>
    </w:lvl>
    <w:lvl w:ilvl="5" w:tentative="0">
      <w:start w:val="1"/>
      <w:numFmt w:val="lowerRoman"/>
      <w:lvlText w:val="%6."/>
      <w:lvlJc w:val="right"/>
      <w:pPr>
        <w:ind w:left="2670" w:hanging="420"/>
      </w:pPr>
    </w:lvl>
    <w:lvl w:ilvl="6" w:tentative="0">
      <w:start w:val="1"/>
      <w:numFmt w:val="decimal"/>
      <w:lvlText w:val="%7."/>
      <w:lvlJc w:val="left"/>
      <w:pPr>
        <w:ind w:left="3090" w:hanging="420"/>
      </w:pPr>
    </w:lvl>
    <w:lvl w:ilvl="7" w:tentative="0">
      <w:start w:val="1"/>
      <w:numFmt w:val="lowerLetter"/>
      <w:lvlText w:val="%8)"/>
      <w:lvlJc w:val="left"/>
      <w:pPr>
        <w:ind w:left="3510" w:hanging="420"/>
      </w:pPr>
    </w:lvl>
    <w:lvl w:ilvl="8" w:tentative="0">
      <w:start w:val="1"/>
      <w:numFmt w:val="lowerRoman"/>
      <w:lvlText w:val="%9."/>
      <w:lvlJc w:val="righ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7C61"/>
    <w:rsid w:val="000A3D12"/>
    <w:rsid w:val="000B414F"/>
    <w:rsid w:val="000F457E"/>
    <w:rsid w:val="00185EF2"/>
    <w:rsid w:val="001D4116"/>
    <w:rsid w:val="00383BA4"/>
    <w:rsid w:val="004E4F64"/>
    <w:rsid w:val="00554822"/>
    <w:rsid w:val="0057707F"/>
    <w:rsid w:val="005A7357"/>
    <w:rsid w:val="005C1C6B"/>
    <w:rsid w:val="006A6080"/>
    <w:rsid w:val="006B2AF8"/>
    <w:rsid w:val="006F11AA"/>
    <w:rsid w:val="00720A20"/>
    <w:rsid w:val="00780CD0"/>
    <w:rsid w:val="00796D99"/>
    <w:rsid w:val="007C7C61"/>
    <w:rsid w:val="007D42B1"/>
    <w:rsid w:val="007E0A94"/>
    <w:rsid w:val="00822DCC"/>
    <w:rsid w:val="009A0312"/>
    <w:rsid w:val="00BF4468"/>
    <w:rsid w:val="00C074A8"/>
    <w:rsid w:val="00C150C0"/>
    <w:rsid w:val="00DC4ACE"/>
    <w:rsid w:val="00EF188B"/>
    <w:rsid w:val="00F50B3E"/>
    <w:rsid w:val="00F85251"/>
    <w:rsid w:val="00FE58A3"/>
    <w:rsid w:val="028D704F"/>
    <w:rsid w:val="351C193F"/>
    <w:rsid w:val="36F858F0"/>
    <w:rsid w:val="38AB78A7"/>
    <w:rsid w:val="3B703C1B"/>
    <w:rsid w:val="3F91584E"/>
    <w:rsid w:val="4987308A"/>
    <w:rsid w:val="4E637087"/>
    <w:rsid w:val="5CFC13FA"/>
    <w:rsid w:val="6FB85FFF"/>
    <w:rsid w:val="74B52EE8"/>
    <w:rsid w:val="76BD2E5E"/>
    <w:rsid w:val="7BD8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列出段落2"/>
    <w:basedOn w:val="1"/>
    <w:unhideWhenUsed/>
    <w:qFormat/>
    <w:uiPriority w:val="99"/>
    <w:pPr>
      <w:ind w:firstLine="420" w:firstLineChars="200"/>
    </w:pPr>
  </w:style>
  <w:style w:type="paragraph" w:customStyle="1" w:styleId="9">
    <w:name w:val="列出段落3"/>
    <w:basedOn w:val="1"/>
    <w:unhideWhenUsed/>
    <w:qFormat/>
    <w:uiPriority w:val="99"/>
    <w:pPr>
      <w:ind w:firstLine="420" w:firstLineChars="200"/>
    </w:pPr>
    <w:rPr>
      <w:rFonts w:ascii="Calibri" w:hAnsi="Calibri" w:eastAsia="宋体" w:cs="Times New Roman"/>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184</Words>
  <Characters>1051</Characters>
  <Lines>8</Lines>
  <Paragraphs>2</Paragraphs>
  <ScaleCrop>false</ScaleCrop>
  <LinksUpToDate>false</LinksUpToDate>
  <CharactersWithSpaces>1233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2017-06-14T03:32:00Z</dcterms:created>
  <dc:creator>Sky123.Org</dc:creator>
  <cp:lastModifiedBy>Administrator</cp:lastModifiedBy>
  <dcterms:modified xsi:type="dcterms:W3CDTF">2017-06-19T07:04:10Z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